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A241">
      <w:pPr>
        <w:jc w:val="center"/>
        <w:rPr>
          <w:rFonts w:hint="eastAsia" w:ascii="隶书" w:hAnsi="黑体" w:eastAsia="隶书"/>
          <w:sz w:val="52"/>
          <w:szCs w:val="52"/>
        </w:rPr>
      </w:pPr>
      <w:bookmarkStart w:id="0" w:name="_GoBack"/>
      <w:r>
        <w:rPr>
          <w:rFonts w:hint="eastAsia" w:ascii="隶书" w:hAnsi="黑体" w:eastAsia="隶书"/>
          <w:sz w:val="52"/>
          <w:szCs w:val="52"/>
        </w:rPr>
        <w:t>防爆</w:t>
      </w:r>
      <w:bookmarkEnd w:id="0"/>
      <w:r>
        <w:rPr>
          <w:rFonts w:hint="eastAsia" w:ascii="隶书" w:hAnsi="黑体" w:eastAsia="隶书"/>
          <w:sz w:val="52"/>
          <w:szCs w:val="52"/>
        </w:rPr>
        <w:t>回流比控制箱产品使用说明书</w:t>
      </w:r>
    </w:p>
    <w:p w14:paraId="341C0DCA">
      <w:pPr>
        <w:spacing w:line="580" w:lineRule="exact"/>
        <w:ind w:firstLine="840" w:firstLineChars="3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防爆回流比控制箱是我们根据用户防爆要求的性能指标，按照标准的仪器结构而开发的一种新型的控制装置，适用于对精馏操作单元中回流比的精确控制。防爆电控箱防爆标志Ex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>dbⅡB</w:t>
      </w:r>
      <w:r>
        <w:rPr>
          <w:rFonts w:ascii="黑体" w:hAnsi="黑体" w:eastAsia="黑体"/>
          <w:sz w:val="28"/>
        </w:rPr>
        <w:t xml:space="preserve"> T6;</w:t>
      </w:r>
      <w:r>
        <w:rPr>
          <w:rFonts w:hint="eastAsia" w:ascii="黑体" w:hAnsi="黑体" w:eastAsia="黑体"/>
          <w:sz w:val="28"/>
        </w:rPr>
        <w:t xml:space="preserve"> Ex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>tbⅢB</w:t>
      </w:r>
      <w:r>
        <w:rPr>
          <w:rFonts w:ascii="黑体" w:hAnsi="黑体" w:eastAsia="黑体"/>
          <w:sz w:val="28"/>
        </w:rPr>
        <w:t xml:space="preserve"> T80</w:t>
      </w:r>
      <w:r>
        <w:rPr>
          <w:rFonts w:hint="eastAsia" w:ascii="黑体" w:hAnsi="黑体" w:eastAsia="黑体"/>
          <w:sz w:val="28"/>
        </w:rPr>
        <w:t>℃</w:t>
      </w:r>
      <w:r>
        <w:rPr>
          <w:rFonts w:ascii="黑体" w:hAnsi="黑体" w:eastAsia="黑体"/>
          <w:sz w:val="28"/>
        </w:rPr>
        <w:t xml:space="preserve"> D</w:t>
      </w:r>
      <w:r>
        <w:rPr>
          <w:rFonts w:hint="eastAsia" w:ascii="黑体" w:hAnsi="黑体" w:eastAsia="黑体"/>
          <w:sz w:val="28"/>
        </w:rPr>
        <w:t>b。</w:t>
      </w:r>
    </w:p>
    <w:p w14:paraId="6DC5CA1A">
      <w:pPr>
        <w:numPr>
          <w:ilvl w:val="0"/>
          <w:numId w:val="1"/>
        </w:numPr>
        <w:spacing w:line="58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箱体尺寸规格</w:t>
      </w:r>
    </w:p>
    <w:p w14:paraId="3FED6A55">
      <w:pPr>
        <w:spacing w:line="580" w:lineRule="exact"/>
        <w:ind w:left="114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2</w:t>
      </w:r>
      <w:r>
        <w:rPr>
          <w:rFonts w:ascii="黑体" w:hAnsi="黑体" w:eastAsia="黑体"/>
          <w:sz w:val="28"/>
        </w:rPr>
        <w:t>00</w:t>
      </w:r>
      <w:r>
        <w:rPr>
          <w:rFonts w:hint="eastAsia" w:ascii="黑体" w:hAnsi="黑体" w:eastAsia="黑体"/>
          <w:sz w:val="28"/>
        </w:rPr>
        <w:t>*</w:t>
      </w:r>
      <w:r>
        <w:rPr>
          <w:rFonts w:ascii="黑体" w:hAnsi="黑体" w:eastAsia="黑体"/>
          <w:sz w:val="28"/>
        </w:rPr>
        <w:t>300</w:t>
      </w:r>
      <w:r>
        <w:rPr>
          <w:rFonts w:hint="eastAsia" w:ascii="黑体" w:hAnsi="黑体" w:eastAsia="黑体"/>
          <w:sz w:val="28"/>
        </w:rPr>
        <w:t>*</w:t>
      </w:r>
      <w:r>
        <w:rPr>
          <w:rFonts w:ascii="黑体" w:hAnsi="黑体" w:eastAsia="黑体"/>
          <w:sz w:val="28"/>
        </w:rPr>
        <w:t>180</w:t>
      </w:r>
    </w:p>
    <w:p w14:paraId="7C52F8B5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  二、功能</w:t>
      </w:r>
    </w:p>
    <w:p w14:paraId="63FB53F7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防爆回流比控制箱是专门用于回流比精确控制的仪器。通过面板按键和显示器进行人机对话，精确设定回流采出时间，使设备在该仪器的控制下，按照设定的回流比例关系自动进行回流和采出，从而实现自动控制。通过对回流时间与采出时间准确控制，来达到对回流量与采出量比例的间接最佳控制。</w:t>
      </w:r>
    </w:p>
    <w:p w14:paraId="714726E2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三、面板说明</w:t>
      </w:r>
    </w:p>
    <w:p w14:paraId="70364116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面板包括四位数码管（采出时间和回流时间各两位），</w:t>
      </w:r>
    </w:p>
    <w:p w14:paraId="3F3C9A10">
      <w:pPr>
        <w:spacing w:line="58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 </w:t>
      </w:r>
      <w:r>
        <w:rPr>
          <w:rFonts w:ascii="黑体" w:hAnsi="黑体" w:eastAsia="黑体"/>
          <w:sz w:val="28"/>
        </w:rPr>
        <w:t xml:space="preserve">    </w:t>
      </w:r>
      <w:r>
        <w:rPr>
          <w:rFonts w:hint="eastAsia" w:ascii="黑体" w:hAnsi="黑体" w:eastAsia="黑体"/>
          <w:sz w:val="28"/>
        </w:rPr>
        <w:t>四个按键“设置/运行”、“位选”、“置数”、“分/秒”</w:t>
      </w:r>
    </w:p>
    <w:p w14:paraId="03962EF8">
      <w:pPr>
        <w:spacing w:line="580" w:lineRule="exact"/>
        <w:ind w:firstLine="840" w:firstLineChars="3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“关/开”</w:t>
      </w:r>
    </w:p>
    <w:p w14:paraId="74244612">
      <w:pPr>
        <w:ind w:firstLine="1400" w:firstLineChars="500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drawing>
          <wp:inline distT="0" distB="0" distL="114300" distR="114300">
            <wp:extent cx="4146550" cy="1123950"/>
            <wp:effectExtent l="0" t="0" r="13970" b="3810"/>
            <wp:docPr id="1" name="图片 1" descr="微信图片_2023040415261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0415261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1040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      四个指示灯“设置”、“运行”、“分”、“秒”。</w:t>
      </w:r>
    </w:p>
    <w:p w14:paraId="1776C6BA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四、接线方法及操作说明</w:t>
      </w:r>
    </w:p>
    <w:p w14:paraId="50293FA1">
      <w:pPr>
        <w:numPr>
          <w:ilvl w:val="0"/>
          <w:numId w:val="2"/>
        </w:numPr>
        <w:spacing w:line="58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接线。电源</w:t>
      </w:r>
      <w:r>
        <w:rPr>
          <w:rFonts w:ascii="黑体" w:hAnsi="黑体" w:eastAsia="黑体"/>
          <w:sz w:val="28"/>
        </w:rPr>
        <w:t>AC220V</w:t>
      </w:r>
      <w:r>
        <w:rPr>
          <w:rFonts w:hint="eastAsia" w:ascii="黑体" w:hAnsi="黑体" w:eastAsia="黑体"/>
          <w:sz w:val="28"/>
        </w:rPr>
        <w:t>输入L、N；线圈输出DC24V（+），DC24V（—）</w:t>
      </w:r>
    </w:p>
    <w:p w14:paraId="4F53DF36">
      <w:pPr>
        <w:spacing w:line="580" w:lineRule="exact"/>
        <w:ind w:left="720"/>
        <w:rPr>
          <w:rFonts w:ascii="黑体" w:hAnsi="黑体" w:eastAsia="黑体"/>
          <w:color w:val="4472C4"/>
          <w:sz w:val="28"/>
        </w:rPr>
      </w:pPr>
      <w:r>
        <w:rPr>
          <w:rFonts w:hint="eastAsia" w:ascii="黑体" w:hAnsi="黑体" w:eastAsia="黑体"/>
          <w:color w:val="4472C4"/>
          <w:sz w:val="28"/>
        </w:rPr>
        <w:t>（可以附加R</w:t>
      </w:r>
      <w:r>
        <w:rPr>
          <w:rFonts w:ascii="黑体" w:hAnsi="黑体" w:eastAsia="黑体"/>
          <w:color w:val="4472C4"/>
          <w:sz w:val="28"/>
        </w:rPr>
        <w:t>S485</w:t>
      </w:r>
      <w:r>
        <w:rPr>
          <w:rFonts w:hint="eastAsia" w:ascii="黑体" w:hAnsi="黑体" w:eastAsia="黑体"/>
          <w:color w:val="4472C4"/>
          <w:sz w:val="28"/>
        </w:rPr>
        <w:t>通讯）</w:t>
      </w:r>
    </w:p>
    <w:p w14:paraId="53DE5367">
      <w:pPr>
        <w:ind w:firstLine="1400" w:firstLineChars="5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drawing>
          <wp:inline distT="0" distB="0" distL="114300" distR="114300">
            <wp:extent cx="4296410" cy="1304925"/>
            <wp:effectExtent l="0" t="0" r="1270" b="5715"/>
            <wp:docPr id="2" name="图片 2" descr="接线图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接线图_副本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A1E11">
      <w:pPr>
        <w:numPr>
          <w:ilvl w:val="0"/>
          <w:numId w:val="2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开机。接通电源，旋转电源开关指示到开。控制线是数据为上次断电的设定状态，不工作，不输出，当按下“设置/运行”键时，仪器开始工作，采出时间倒计时，到零时触电接触状态改变，回流时间开始倒计时，在回流时间倒计时开始的同时，采出时间自动由零变到设定时间，当回流时间为零时，触电状态改变，采出时间开始倒计时，回流时间自动变到设定时间，循环运行，直到再次按下“设置/运行”键，仪器停止工作，触电恢复原始状态，仪器同时进入设定状态。</w:t>
      </w:r>
    </w:p>
    <w:p w14:paraId="24D6DB98">
      <w:pPr>
        <w:numPr>
          <w:ilvl w:val="0"/>
          <w:numId w:val="2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设定时间基数。开机时，“秒”指示灯亮，此时回流采出时间以秒为基数。若按“秒/分”指示灯亮起，此时回流采出时间以分为基数。</w:t>
      </w:r>
    </w:p>
    <w:p w14:paraId="75526756">
      <w:pPr>
        <w:numPr>
          <w:ilvl w:val="0"/>
          <w:numId w:val="2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设定数值。按“设置/运行”键，选择设置状态，仪器在设置状态下，时间不变，数据位的个位闪烁，按“位选”键选择需要设定的数据位，按“置数”键设定所需数值，数值由0~9循环变化。</w:t>
      </w:r>
    </w:p>
    <w:p w14:paraId="54DB8D29">
      <w:pPr>
        <w:numPr>
          <w:ilvl w:val="0"/>
          <w:numId w:val="2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启动工作状态。设定完毕，按下“设置/运行”键，仪器进入工作状态，回流和采出的时间按倒计时方式显示，并交替工作。</w:t>
      </w:r>
    </w:p>
    <w:p w14:paraId="323B7B49">
      <w:pPr>
        <w:numPr>
          <w:ilvl w:val="0"/>
          <w:numId w:val="2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变更工作状态。“设置/运行”键即可。</w:t>
      </w:r>
    </w:p>
    <w:p w14:paraId="2E12A43F">
      <w:pPr>
        <w:numPr>
          <w:ilvl w:val="0"/>
          <w:numId w:val="2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关机。旋转电源开关指示到关。在设定状态下，数据将保留，再次开机时不必重新设定。</w:t>
      </w:r>
    </w:p>
    <w:p w14:paraId="475C2D87">
      <w:pPr>
        <w:spacing w:line="580" w:lineRule="exact"/>
        <w:ind w:firstLine="280" w:firstLineChars="1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回流头</w:t>
      </w:r>
    </w:p>
    <w:p w14:paraId="36BF4F18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一、回流头主要规格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620"/>
        <w:gridCol w:w="1620"/>
        <w:gridCol w:w="1620"/>
      </w:tblGrid>
      <w:tr w14:paraId="69F5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55201A5B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型号</w:t>
            </w:r>
          </w:p>
        </w:tc>
        <w:tc>
          <w:tcPr>
            <w:tcW w:w="1620" w:type="dxa"/>
            <w:noWrap w:val="0"/>
            <w:vAlign w:val="top"/>
          </w:tcPr>
          <w:p w14:paraId="05075C32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冷凝液管</w:t>
            </w:r>
          </w:p>
        </w:tc>
        <w:tc>
          <w:tcPr>
            <w:tcW w:w="1620" w:type="dxa"/>
            <w:noWrap w:val="0"/>
            <w:vAlign w:val="top"/>
          </w:tcPr>
          <w:p w14:paraId="7BE6FE8B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采出管</w:t>
            </w:r>
          </w:p>
        </w:tc>
        <w:tc>
          <w:tcPr>
            <w:tcW w:w="1620" w:type="dxa"/>
            <w:noWrap w:val="0"/>
            <w:vAlign w:val="top"/>
          </w:tcPr>
          <w:p w14:paraId="00838602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回流管</w:t>
            </w:r>
          </w:p>
        </w:tc>
        <w:tc>
          <w:tcPr>
            <w:tcW w:w="1620" w:type="dxa"/>
            <w:noWrap w:val="0"/>
            <w:vAlign w:val="top"/>
          </w:tcPr>
          <w:p w14:paraId="5848AE91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电源</w:t>
            </w:r>
          </w:p>
        </w:tc>
      </w:tr>
      <w:tr w14:paraId="718C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1D58239C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HLT-0.1</w:t>
            </w:r>
          </w:p>
        </w:tc>
        <w:tc>
          <w:tcPr>
            <w:tcW w:w="1620" w:type="dxa"/>
            <w:noWrap w:val="0"/>
            <w:vAlign w:val="top"/>
          </w:tcPr>
          <w:p w14:paraId="5AD52F31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 w14:paraId="473865E4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 w14:paraId="65217174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 w14:paraId="28520CB5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DC24V</w:t>
            </w:r>
          </w:p>
        </w:tc>
      </w:tr>
      <w:tr w14:paraId="0416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24CF439B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HLT-0.5</w:t>
            </w:r>
          </w:p>
        </w:tc>
        <w:tc>
          <w:tcPr>
            <w:tcW w:w="1620" w:type="dxa"/>
            <w:noWrap w:val="0"/>
            <w:vAlign w:val="top"/>
          </w:tcPr>
          <w:p w14:paraId="0AFF2157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25</w:t>
            </w:r>
          </w:p>
        </w:tc>
        <w:tc>
          <w:tcPr>
            <w:tcW w:w="1620" w:type="dxa"/>
            <w:noWrap w:val="0"/>
            <w:vAlign w:val="top"/>
          </w:tcPr>
          <w:p w14:paraId="310C9DD4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25</w:t>
            </w:r>
          </w:p>
        </w:tc>
        <w:tc>
          <w:tcPr>
            <w:tcW w:w="1620" w:type="dxa"/>
            <w:noWrap w:val="0"/>
            <w:vAlign w:val="top"/>
          </w:tcPr>
          <w:p w14:paraId="63FE3B43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25</w:t>
            </w:r>
          </w:p>
        </w:tc>
        <w:tc>
          <w:tcPr>
            <w:tcW w:w="1620" w:type="dxa"/>
            <w:noWrap w:val="0"/>
            <w:vAlign w:val="top"/>
          </w:tcPr>
          <w:p w14:paraId="4BAD0994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DC24V</w:t>
            </w:r>
          </w:p>
        </w:tc>
      </w:tr>
      <w:tr w14:paraId="0DC8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5F8EC7E1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HLT-1.0</w:t>
            </w:r>
          </w:p>
        </w:tc>
        <w:tc>
          <w:tcPr>
            <w:tcW w:w="1620" w:type="dxa"/>
            <w:noWrap w:val="0"/>
            <w:vAlign w:val="top"/>
          </w:tcPr>
          <w:p w14:paraId="02996B0E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32</w:t>
            </w:r>
          </w:p>
        </w:tc>
        <w:tc>
          <w:tcPr>
            <w:tcW w:w="1620" w:type="dxa"/>
            <w:noWrap w:val="0"/>
            <w:vAlign w:val="top"/>
          </w:tcPr>
          <w:p w14:paraId="060F6A02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32</w:t>
            </w:r>
          </w:p>
        </w:tc>
        <w:tc>
          <w:tcPr>
            <w:tcW w:w="1620" w:type="dxa"/>
            <w:noWrap w:val="0"/>
            <w:vAlign w:val="top"/>
          </w:tcPr>
          <w:p w14:paraId="48D8EF78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32</w:t>
            </w:r>
          </w:p>
        </w:tc>
        <w:tc>
          <w:tcPr>
            <w:tcW w:w="1620" w:type="dxa"/>
            <w:noWrap w:val="0"/>
            <w:vAlign w:val="top"/>
          </w:tcPr>
          <w:p w14:paraId="1F571400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DC24V</w:t>
            </w:r>
          </w:p>
        </w:tc>
      </w:tr>
      <w:tr w14:paraId="2171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7DFEBE81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HLT-2.0</w:t>
            </w:r>
          </w:p>
        </w:tc>
        <w:tc>
          <w:tcPr>
            <w:tcW w:w="1620" w:type="dxa"/>
            <w:noWrap w:val="0"/>
            <w:vAlign w:val="top"/>
          </w:tcPr>
          <w:p w14:paraId="00FCD135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40</w:t>
            </w:r>
          </w:p>
        </w:tc>
        <w:tc>
          <w:tcPr>
            <w:tcW w:w="1620" w:type="dxa"/>
            <w:noWrap w:val="0"/>
            <w:vAlign w:val="top"/>
          </w:tcPr>
          <w:p w14:paraId="3A24F237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40</w:t>
            </w:r>
          </w:p>
        </w:tc>
        <w:tc>
          <w:tcPr>
            <w:tcW w:w="1620" w:type="dxa"/>
            <w:noWrap w:val="0"/>
            <w:vAlign w:val="top"/>
          </w:tcPr>
          <w:p w14:paraId="15A95907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40</w:t>
            </w:r>
          </w:p>
        </w:tc>
        <w:tc>
          <w:tcPr>
            <w:tcW w:w="1620" w:type="dxa"/>
            <w:noWrap w:val="0"/>
            <w:vAlign w:val="top"/>
          </w:tcPr>
          <w:p w14:paraId="5BFCAEF7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DC24V</w:t>
            </w:r>
          </w:p>
        </w:tc>
      </w:tr>
      <w:tr w14:paraId="7AB0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3C391FED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HLT-3.0</w:t>
            </w:r>
          </w:p>
        </w:tc>
        <w:tc>
          <w:tcPr>
            <w:tcW w:w="1620" w:type="dxa"/>
            <w:noWrap w:val="0"/>
            <w:vAlign w:val="top"/>
          </w:tcPr>
          <w:p w14:paraId="7AED7E28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50</w:t>
            </w:r>
          </w:p>
        </w:tc>
        <w:tc>
          <w:tcPr>
            <w:tcW w:w="1620" w:type="dxa"/>
            <w:noWrap w:val="0"/>
            <w:vAlign w:val="top"/>
          </w:tcPr>
          <w:p w14:paraId="41028164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50</w:t>
            </w:r>
          </w:p>
        </w:tc>
        <w:tc>
          <w:tcPr>
            <w:tcW w:w="1620" w:type="dxa"/>
            <w:noWrap w:val="0"/>
            <w:vAlign w:val="top"/>
          </w:tcPr>
          <w:p w14:paraId="0BCFFE14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</w:t>
            </w:r>
            <w:r>
              <w:rPr>
                <w:rFonts w:ascii="黑体" w:hAnsi="黑体" w:eastAsia="黑体"/>
                <w:sz w:val="28"/>
              </w:rPr>
              <w:t>N</w:t>
            </w:r>
            <w:r>
              <w:rPr>
                <w:rFonts w:hint="eastAsia" w:ascii="黑体" w:hAnsi="黑体" w:eastAsia="黑体"/>
                <w:sz w:val="28"/>
              </w:rPr>
              <w:t>50</w:t>
            </w:r>
          </w:p>
        </w:tc>
        <w:tc>
          <w:tcPr>
            <w:tcW w:w="1620" w:type="dxa"/>
            <w:noWrap w:val="0"/>
            <w:vAlign w:val="top"/>
          </w:tcPr>
          <w:p w14:paraId="33C734C8">
            <w:pPr>
              <w:spacing w:line="580" w:lineRule="exact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DC24V</w:t>
            </w:r>
          </w:p>
        </w:tc>
      </w:tr>
    </w:tbl>
    <w:p w14:paraId="07DF5474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如无特殊要求，材质一般为不锈钢（SUS304）的，根据介质需要也可做成316L或衬塑（氟）的。</w:t>
      </w:r>
    </w:p>
    <w:p w14:paraId="1CF04C15">
      <w:p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二、回流头安装示意图</w:t>
      </w:r>
    </w:p>
    <w:p w14:paraId="6DB4CC05">
      <w:pPr>
        <w:numPr>
          <w:ilvl w:val="1"/>
          <w:numId w:val="3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安装时分别接好回流管、采出管及冷凝液管</w:t>
      </w:r>
    </w:p>
    <w:p w14:paraId="4005A1AB">
      <w:pPr>
        <w:spacing w:line="580" w:lineRule="exact"/>
        <w:ind w:firstLine="1120" w:firstLineChars="4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并保证分配头筒体基本垂直。</w:t>
      </w:r>
    </w:p>
    <w:p w14:paraId="48A49136">
      <w:pPr>
        <w:numPr>
          <w:ilvl w:val="1"/>
          <w:numId w:val="3"/>
        </w:numPr>
        <w:spacing w:line="58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回流管下口到精馏塔回流口留有一定高度，</w:t>
      </w:r>
    </w:p>
    <w:p w14:paraId="179743F0">
      <w:pPr>
        <w:spacing w:line="580" w:lineRule="exact"/>
        <w:ind w:left="420" w:leftChars="200" w:firstLine="840" w:firstLineChars="3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保证回流液体能够回流即可。</w:t>
      </w:r>
    </w:p>
    <w:p w14:paraId="2EA95BBA">
      <w:pPr>
        <w:ind w:firstLine="840" w:firstLineChars="400"/>
        <w:rPr>
          <w:rFonts w:hint="eastAsia" w:ascii="黑体" w:hAnsi="黑体" w:eastAsia="黑体"/>
        </w:rPr>
      </w:pPr>
      <w:r>
        <w:rPr>
          <w:rFonts w:ascii="黑体" w:hAnsi="黑体" w:eastAsia="黑体"/>
        </w:rPr>
        <w:object>
          <v:shape id="_x0000_i1030" o:spt="75" type="#_x0000_t75" style="height:222.35pt;width:393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AutoCAD.Drawing.16" ShapeID="_x0000_i1030" DrawAspect="Content" ObjectID="_1468075725" r:id="rId12">
            <o:LockedField>false</o:LockedField>
          </o:OLEObject>
        </w:object>
      </w:r>
    </w:p>
    <w:p w14:paraId="0701F0D2">
      <w:pPr>
        <w:ind w:firstLine="3080" w:firstLineChars="11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28"/>
        </w:rPr>
        <w:t>回流头连接形式1</w:t>
      </w:r>
    </w:p>
    <w:p w14:paraId="06A96E49">
      <w:pPr>
        <w:ind w:firstLine="1260" w:firstLineChars="600"/>
        <w:rPr>
          <w:rFonts w:hint="eastAsia" w:ascii="黑体" w:hAnsi="黑体" w:eastAsia="黑体"/>
        </w:rPr>
      </w:pPr>
      <w:r>
        <w:rPr>
          <w:rFonts w:ascii="黑体" w:hAnsi="黑体" w:eastAsia="黑体"/>
        </w:rPr>
        <w:object>
          <v:shape id="_x0000_i1028" o:spt="75" type="#_x0000_t75" style="height:225.25pt;width:392.95pt;" o:ole="t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AutoCAD.Drawing.16" ShapeID="_x0000_i1028" DrawAspect="Content" ObjectID="_1468075726" r:id="rId14">
            <o:LockedField>false</o:LockedField>
          </o:OLEObject>
        </w:object>
      </w:r>
    </w:p>
    <w:p w14:paraId="2D3159D5">
      <w:pPr>
        <w:ind w:firstLine="3080" w:firstLineChars="11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回流头连接形2             </w:t>
      </w:r>
    </w:p>
    <w:p w14:paraId="1E0EB786"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</w:t>
      </w:r>
      <w:r>
        <w:rPr>
          <w:rFonts w:hint="eastAsia" w:ascii="黑体" w:hAnsi="黑体" w:eastAsia="黑体"/>
          <w:sz w:val="28"/>
        </w:rPr>
        <w:drawing>
          <wp:inline distT="0" distB="0" distL="114300" distR="114300">
            <wp:extent cx="6115050" cy="4962525"/>
            <wp:effectExtent l="0" t="0" r="11430" b="5715"/>
            <wp:docPr id="3" name="图片 5" descr="微信图片_2023071809253015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微信图片_2023071809253015_副本_副本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D8B2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7801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6B59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F2E2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A095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AD6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7914E06"/>
    <w:multiLevelType w:val="multilevel"/>
    <w:tmpl w:val="47914E06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2I3MDI2M2YxYTVjZWZhMTI3OTE1MDkzOWE0NDEifQ=="/>
  </w:docVars>
  <w:rsids>
    <w:rsidRoot w:val="00172A27"/>
    <w:rsid w:val="00075542"/>
    <w:rsid w:val="00086E67"/>
    <w:rsid w:val="0009489B"/>
    <w:rsid w:val="000B47E7"/>
    <w:rsid w:val="000E4B52"/>
    <w:rsid w:val="000E6FBF"/>
    <w:rsid w:val="00116404"/>
    <w:rsid w:val="001473DD"/>
    <w:rsid w:val="0016007D"/>
    <w:rsid w:val="0016228A"/>
    <w:rsid w:val="001E5F63"/>
    <w:rsid w:val="002B5503"/>
    <w:rsid w:val="003E0AE2"/>
    <w:rsid w:val="00450046"/>
    <w:rsid w:val="004855FF"/>
    <w:rsid w:val="005009A8"/>
    <w:rsid w:val="005426A2"/>
    <w:rsid w:val="0057748B"/>
    <w:rsid w:val="00577C17"/>
    <w:rsid w:val="006214A3"/>
    <w:rsid w:val="00672A7B"/>
    <w:rsid w:val="006A1B05"/>
    <w:rsid w:val="006D14B6"/>
    <w:rsid w:val="0074301C"/>
    <w:rsid w:val="007B1680"/>
    <w:rsid w:val="007B75AB"/>
    <w:rsid w:val="007E29E9"/>
    <w:rsid w:val="00803FD3"/>
    <w:rsid w:val="008D2FCE"/>
    <w:rsid w:val="009102E7"/>
    <w:rsid w:val="0092016F"/>
    <w:rsid w:val="009304F3"/>
    <w:rsid w:val="00997E4C"/>
    <w:rsid w:val="009B7898"/>
    <w:rsid w:val="009E7F00"/>
    <w:rsid w:val="00A92AD0"/>
    <w:rsid w:val="00AB797D"/>
    <w:rsid w:val="00AC3869"/>
    <w:rsid w:val="00B01889"/>
    <w:rsid w:val="00B44AAB"/>
    <w:rsid w:val="00B72C61"/>
    <w:rsid w:val="00C76C75"/>
    <w:rsid w:val="00CA4533"/>
    <w:rsid w:val="00CC4016"/>
    <w:rsid w:val="00D07D45"/>
    <w:rsid w:val="00D13912"/>
    <w:rsid w:val="00D51924"/>
    <w:rsid w:val="00D720A2"/>
    <w:rsid w:val="00D750AF"/>
    <w:rsid w:val="00D753AD"/>
    <w:rsid w:val="00E359CD"/>
    <w:rsid w:val="00E93DA0"/>
    <w:rsid w:val="00E967E1"/>
    <w:rsid w:val="00EB78AA"/>
    <w:rsid w:val="00F32EF4"/>
    <w:rsid w:val="00FE20A6"/>
    <w:rsid w:val="04735E96"/>
    <w:rsid w:val="04F24455"/>
    <w:rsid w:val="0A5B0435"/>
    <w:rsid w:val="0E0305D7"/>
    <w:rsid w:val="0FCB69DC"/>
    <w:rsid w:val="10150A56"/>
    <w:rsid w:val="16CA7FBA"/>
    <w:rsid w:val="1B0B1821"/>
    <w:rsid w:val="24171CA0"/>
    <w:rsid w:val="27CC05D6"/>
    <w:rsid w:val="27D00403"/>
    <w:rsid w:val="2ADB051A"/>
    <w:rsid w:val="2CE56E2C"/>
    <w:rsid w:val="32DF1C4C"/>
    <w:rsid w:val="35F83077"/>
    <w:rsid w:val="3F2E43E4"/>
    <w:rsid w:val="40191A7C"/>
    <w:rsid w:val="453F7FD3"/>
    <w:rsid w:val="465E2593"/>
    <w:rsid w:val="47B73026"/>
    <w:rsid w:val="4EE47F3A"/>
    <w:rsid w:val="4F314F56"/>
    <w:rsid w:val="54EE4C18"/>
    <w:rsid w:val="5D035FA9"/>
    <w:rsid w:val="5D696354"/>
    <w:rsid w:val="5FB342ED"/>
    <w:rsid w:val="6707718D"/>
    <w:rsid w:val="6F832566"/>
    <w:rsid w:val="715C163A"/>
    <w:rsid w:val="72DE78D2"/>
    <w:rsid w:val="73C90223"/>
    <w:rsid w:val="7E2862B0"/>
    <w:rsid w:val="7F2B4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apple-converted-space"/>
    <w:basedOn w:val="7"/>
    <w:uiPriority w:val="0"/>
  </w:style>
  <w:style w:type="character" w:customStyle="1" w:styleId="9">
    <w:name w:val="页脚 字符"/>
    <w:link w:val="4"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5.jpeg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1018</Words>
  <Characters>1163</Characters>
  <Lines>9</Lines>
  <Paragraphs>2</Paragraphs>
  <TotalTime>41</TotalTime>
  <ScaleCrop>false</ScaleCrop>
  <LinksUpToDate>false</LinksUpToDate>
  <CharactersWithSpaces>1210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2023-04-04T06:55:00Z</dcterms:created>
  <dc:creator>aa</dc:creator>
  <cp:lastModifiedBy>呦</cp:lastModifiedBy>
  <cp:lastPrinted>2024-02-28T08:48:00Z</cp:lastPrinted>
  <dcterms:modified xsi:type="dcterms:W3CDTF">2024-08-27T06:19:45Z</dcterms:modified>
  <dc:title>回流头(回流比控制器)产品使用说明书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57E690A6552B4CA9AD18D4850AD554C6_13</vt:lpwstr>
  </property>
</Properties>
</file>